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66702" w:rsidRPr="00661116" w:rsidP="002971DA">
      <w:pPr>
        <w:jc w:val="center"/>
        <w:rPr>
          <w:rFonts w:cs="Times New Roman"/>
          <w:b/>
          <w:szCs w:val="24"/>
        </w:rPr>
      </w:pPr>
    </w:p>
    <w:p w:rsidR="00E66702" w:rsidRPr="00661116" w:rsidP="002971DA">
      <w:pPr>
        <w:jc w:val="center"/>
        <w:rPr>
          <w:rFonts w:cs="Times New Roman"/>
          <w:b/>
          <w:szCs w:val="24"/>
        </w:rPr>
      </w:pPr>
    </w:p>
    <w:p w:rsidR="00E66702" w:rsidRPr="00661116" w:rsidP="002971DA">
      <w:pPr>
        <w:jc w:val="center"/>
        <w:rPr>
          <w:rFonts w:cs="Times New Roman"/>
          <w:b/>
          <w:szCs w:val="24"/>
        </w:rPr>
      </w:pPr>
    </w:p>
    <w:p w:rsidR="00E66702" w:rsidRPr="00661116" w:rsidP="002971DA">
      <w:pPr>
        <w:jc w:val="center"/>
        <w:rPr>
          <w:rFonts w:cs="Times New Roman"/>
          <w:b/>
          <w:szCs w:val="24"/>
        </w:rPr>
      </w:pPr>
    </w:p>
    <w:p w:rsidR="00E66702" w:rsidRPr="00661116" w:rsidP="002971DA">
      <w:pPr>
        <w:jc w:val="center"/>
        <w:rPr>
          <w:rFonts w:cs="Times New Roman"/>
          <w:b/>
          <w:szCs w:val="24"/>
        </w:rPr>
      </w:pPr>
    </w:p>
    <w:p w:rsidR="00E66702" w:rsidRPr="00661116" w:rsidP="002971DA">
      <w:pPr>
        <w:jc w:val="center"/>
        <w:rPr>
          <w:rFonts w:cs="Times New Roman"/>
          <w:b/>
          <w:szCs w:val="24"/>
        </w:rPr>
      </w:pPr>
    </w:p>
    <w:p w:rsidR="00E66702" w:rsidRPr="00661116" w:rsidP="002971DA">
      <w:pPr>
        <w:jc w:val="center"/>
        <w:rPr>
          <w:rFonts w:cs="Times New Roman"/>
          <w:b/>
          <w:szCs w:val="24"/>
        </w:rPr>
      </w:pPr>
    </w:p>
    <w:p w:rsidR="00E66702" w:rsidRPr="00661116" w:rsidP="002971DA">
      <w:pPr>
        <w:jc w:val="center"/>
        <w:rPr>
          <w:rFonts w:cs="Times New Roman"/>
          <w:b/>
          <w:szCs w:val="24"/>
        </w:rPr>
      </w:pPr>
    </w:p>
    <w:p w:rsidR="00E66702" w:rsidRPr="00661116" w:rsidP="002971DA">
      <w:pPr>
        <w:jc w:val="center"/>
        <w:rPr>
          <w:rFonts w:cs="Times New Roman"/>
          <w:b/>
          <w:szCs w:val="24"/>
        </w:rPr>
      </w:pPr>
    </w:p>
    <w:p w:rsidR="00E66702" w:rsidRPr="00661116" w:rsidP="002971DA">
      <w:pPr>
        <w:jc w:val="center"/>
        <w:rPr>
          <w:rFonts w:cs="Times New Roman"/>
          <w:b/>
          <w:szCs w:val="24"/>
        </w:rPr>
      </w:pPr>
    </w:p>
    <w:p w:rsidR="00E66702" w:rsidRPr="00661116" w:rsidP="002971DA">
      <w:pPr>
        <w:jc w:val="center"/>
        <w:rPr>
          <w:rFonts w:cs="Times New Roman"/>
          <w:b/>
          <w:szCs w:val="24"/>
        </w:rPr>
      </w:pPr>
    </w:p>
    <w:p w:rsidR="00E66702" w:rsidRPr="00661116" w:rsidP="002971DA">
      <w:pPr>
        <w:jc w:val="center"/>
        <w:rPr>
          <w:rFonts w:cs="Times New Roman"/>
          <w:b/>
          <w:szCs w:val="24"/>
        </w:rPr>
      </w:pPr>
    </w:p>
    <w:p w:rsidR="00E66702" w:rsidRPr="00661116" w:rsidP="002971DA">
      <w:pPr>
        <w:jc w:val="center"/>
        <w:rPr>
          <w:rFonts w:cs="Times New Roman"/>
          <w:b/>
          <w:szCs w:val="24"/>
        </w:rPr>
      </w:pPr>
    </w:p>
    <w:p w:rsidR="00E66702" w:rsidRPr="00661116" w:rsidP="002971DA">
      <w:pPr>
        <w:jc w:val="center"/>
        <w:rPr>
          <w:rFonts w:cs="Times New Roman"/>
          <w:b/>
          <w:szCs w:val="24"/>
        </w:rPr>
      </w:pPr>
    </w:p>
    <w:p w:rsidR="00E66702" w:rsidRPr="00661116" w:rsidP="002971DA">
      <w:pPr>
        <w:jc w:val="center"/>
        <w:rPr>
          <w:rFonts w:cs="Times New Roman"/>
          <w:b/>
          <w:szCs w:val="24"/>
        </w:rPr>
      </w:pPr>
    </w:p>
    <w:p w:rsidR="00E66702" w:rsidRPr="00661116" w:rsidP="00E66702">
      <w:pPr>
        <w:jc w:val="center"/>
        <w:rPr>
          <w:rFonts w:cs="Times New Roman"/>
          <w:b/>
          <w:szCs w:val="24"/>
        </w:rPr>
      </w:pPr>
      <w:r w:rsidRPr="00661116">
        <w:rPr>
          <w:rFonts w:cs="Times New Roman"/>
          <w:b/>
          <w:szCs w:val="24"/>
        </w:rPr>
        <w:t>Alphabet</w:t>
      </w:r>
      <w:r w:rsidRPr="00661116">
        <w:rPr>
          <w:rFonts w:cs="Times New Roman"/>
          <w:b/>
          <w:szCs w:val="24"/>
        </w:rPr>
        <w:t xml:space="preserve"> Accounting Policy Analysis</w:t>
      </w:r>
    </w:p>
    <w:p w:rsidR="00E66702" w:rsidRPr="00661116" w:rsidP="00E66702">
      <w:pPr>
        <w:jc w:val="center"/>
        <w:rPr>
          <w:rFonts w:cs="Times New Roman"/>
          <w:b/>
          <w:szCs w:val="24"/>
        </w:rPr>
      </w:pPr>
      <w:r w:rsidRPr="00661116">
        <w:rPr>
          <w:rFonts w:cs="Times New Roman"/>
          <w:b/>
          <w:szCs w:val="24"/>
        </w:rPr>
        <w:t>Students Name</w:t>
      </w:r>
    </w:p>
    <w:p w:rsidR="00E66702" w:rsidRPr="00661116" w:rsidP="00E66702">
      <w:pPr>
        <w:jc w:val="center"/>
        <w:rPr>
          <w:rFonts w:cs="Times New Roman"/>
          <w:b/>
          <w:szCs w:val="24"/>
        </w:rPr>
      </w:pPr>
      <w:r w:rsidRPr="00661116">
        <w:rPr>
          <w:rFonts w:cs="Times New Roman"/>
          <w:b/>
          <w:szCs w:val="24"/>
        </w:rPr>
        <w:t>Affiliate Institution</w:t>
      </w:r>
    </w:p>
    <w:p w:rsidR="00E66702" w:rsidRPr="00661116" w:rsidP="00E66702">
      <w:pPr>
        <w:jc w:val="center"/>
        <w:rPr>
          <w:rFonts w:cs="Times New Roman"/>
          <w:b/>
          <w:szCs w:val="24"/>
        </w:rPr>
      </w:pPr>
      <w:r w:rsidRPr="00661116">
        <w:rPr>
          <w:rFonts w:cs="Times New Roman"/>
          <w:b/>
          <w:szCs w:val="24"/>
        </w:rPr>
        <w:t>Date</w:t>
      </w:r>
    </w:p>
    <w:p w:rsidR="00E66702" w:rsidRPr="00661116" w:rsidP="002971DA">
      <w:pPr>
        <w:jc w:val="center"/>
        <w:rPr>
          <w:rFonts w:cs="Times New Roman"/>
          <w:b/>
          <w:szCs w:val="24"/>
        </w:rPr>
      </w:pPr>
    </w:p>
    <w:p w:rsidR="00E66702" w:rsidRPr="00661116" w:rsidP="002971DA">
      <w:pPr>
        <w:jc w:val="center"/>
        <w:rPr>
          <w:rFonts w:cs="Times New Roman"/>
          <w:b/>
          <w:szCs w:val="24"/>
        </w:rPr>
      </w:pPr>
    </w:p>
    <w:p w:rsidR="00E66702" w:rsidRPr="00661116" w:rsidP="002971DA">
      <w:pPr>
        <w:jc w:val="center"/>
        <w:rPr>
          <w:rFonts w:cs="Times New Roman"/>
          <w:b/>
          <w:szCs w:val="24"/>
        </w:rPr>
      </w:pPr>
    </w:p>
    <w:p w:rsidR="00E66702" w:rsidRPr="00661116" w:rsidP="002971DA">
      <w:pPr>
        <w:jc w:val="center"/>
        <w:rPr>
          <w:rFonts w:cs="Times New Roman"/>
          <w:b/>
          <w:szCs w:val="24"/>
        </w:rPr>
      </w:pPr>
    </w:p>
    <w:p w:rsidR="007B5ECB" w:rsidRPr="00661116" w:rsidP="002971DA">
      <w:pPr>
        <w:jc w:val="center"/>
        <w:rPr>
          <w:rFonts w:cs="Times New Roman"/>
          <w:b/>
          <w:szCs w:val="24"/>
        </w:rPr>
      </w:pPr>
      <w:r w:rsidRPr="00661116">
        <w:rPr>
          <w:rFonts w:cs="Times New Roman"/>
          <w:b/>
          <w:szCs w:val="24"/>
        </w:rPr>
        <w:t>Accounting Analysis</w:t>
      </w:r>
    </w:p>
    <w:p w:rsidR="00A449B1" w:rsidRPr="00661116" w:rsidP="002971DA">
      <w:pPr>
        <w:jc w:val="center"/>
        <w:rPr>
          <w:rFonts w:cs="Times New Roman"/>
          <w:b/>
          <w:szCs w:val="24"/>
        </w:rPr>
      </w:pPr>
      <w:r w:rsidRPr="00661116">
        <w:rPr>
          <w:rFonts w:cs="Times New Roman"/>
          <w:b/>
          <w:szCs w:val="24"/>
        </w:rPr>
        <w:t>Introduction</w:t>
      </w:r>
    </w:p>
    <w:p w:rsidR="002971DA" w:rsidRPr="00661116" w:rsidP="002971DA">
      <w:pPr>
        <w:rPr>
          <w:rFonts w:cs="Times New Roman"/>
          <w:szCs w:val="24"/>
        </w:rPr>
      </w:pPr>
      <w:r w:rsidRPr="00661116">
        <w:rPr>
          <w:rFonts w:cs="Times New Roman"/>
          <w:szCs w:val="24"/>
        </w:rPr>
        <w:t xml:space="preserve">Alphabet Inc., based in Mountain View, California, is an American global technological </w:t>
      </w:r>
      <w:r w:rsidRPr="00661116">
        <w:rPr>
          <w:rFonts w:cs="Times New Roman"/>
          <w:szCs w:val="24"/>
        </w:rPr>
        <w:t>conglomerate holding</w:t>
      </w:r>
      <w:r w:rsidRPr="00661116">
        <w:rPr>
          <w:rFonts w:cs="Times New Roman"/>
          <w:szCs w:val="24"/>
        </w:rPr>
        <w:t xml:space="preserve"> corporation. On October 2, 2015, it was formed </w:t>
      </w:r>
      <w:r w:rsidRPr="00661116">
        <w:rPr>
          <w:rFonts w:cs="Times New Roman"/>
          <w:szCs w:val="24"/>
        </w:rPr>
        <w:t xml:space="preserve">due to a Google reorganization, and it became the parent company of Google and numerous previous Google affiliates. Google </w:t>
      </w:r>
      <w:r w:rsidRPr="00661116">
        <w:rPr>
          <w:rFonts w:cs="Times New Roman"/>
          <w:szCs w:val="24"/>
        </w:rPr>
        <w:t>is divided</w:t>
      </w:r>
      <w:r w:rsidRPr="00661116">
        <w:rPr>
          <w:rFonts w:cs="Times New Roman"/>
          <w:szCs w:val="24"/>
        </w:rPr>
        <w:t xml:space="preserve"> into two groups for external reporting: Google Services and Google Cloud. Android, Gmail, Google Drive, Chrome,</w:t>
      </w:r>
      <w:r w:rsidRPr="00661116">
        <w:rPr>
          <w:rFonts w:cs="Times New Roman"/>
          <w:szCs w:val="24"/>
        </w:rPr>
        <w:t>  Google</w:t>
      </w:r>
      <w:r w:rsidRPr="00661116">
        <w:rPr>
          <w:rFonts w:cs="Times New Roman"/>
          <w:szCs w:val="24"/>
        </w:rPr>
        <w:t xml:space="preserve"> Photos, Google Maps, YouTube, Search, and Google Play are some of Google Services' most popular products and platforms, with consumers worldwide using them. Google Workspace </w:t>
      </w:r>
      <w:r w:rsidRPr="00661116">
        <w:rPr>
          <w:rFonts w:cs="Times New Roman"/>
          <w:szCs w:val="24"/>
        </w:rPr>
        <w:t>products include</w:t>
      </w:r>
      <w:r w:rsidRPr="00661116">
        <w:rPr>
          <w:rFonts w:cs="Times New Roman"/>
          <w:szCs w:val="24"/>
        </w:rPr>
        <w:t xml:space="preserve"> apps like Docs, Gmail, Meet Calendar, Drive, and more.</w:t>
      </w:r>
      <w:r w:rsidRPr="00661116" w:rsidR="008671BB">
        <w:rPr>
          <w:rFonts w:cs="Times New Roman"/>
          <w:szCs w:val="24"/>
        </w:rPr>
        <w:t xml:space="preserve"> This paper will perform an accounting analysis for the Alphabet company, reflecting </w:t>
      </w:r>
      <w:r w:rsidRPr="00661116" w:rsidR="008671BB">
        <w:rPr>
          <w:rFonts w:cs="Times New Roman"/>
          <w:szCs w:val="24"/>
        </w:rPr>
        <w:t>three year</w:t>
      </w:r>
      <w:r w:rsidRPr="00661116" w:rsidR="008671BB">
        <w:rPr>
          <w:rFonts w:cs="Times New Roman"/>
          <w:szCs w:val="24"/>
        </w:rPr>
        <w:t>s of the fiscal years to the year ended December 31, 2021.</w:t>
      </w:r>
      <w:r w:rsidRPr="00661116" w:rsidR="00C75E2A">
        <w:rPr>
          <w:rFonts w:cs="Times New Roman"/>
          <w:szCs w:val="24"/>
        </w:rPr>
        <w:t xml:space="preserve"> The accounting policy </w:t>
      </w:r>
      <w:r w:rsidRPr="00661116" w:rsidR="00C75E2A">
        <w:rPr>
          <w:rFonts w:cs="Times New Roman"/>
          <w:szCs w:val="24"/>
        </w:rPr>
        <w:t>will be discussed</w:t>
      </w:r>
      <w:r w:rsidRPr="00661116" w:rsidR="00C75E2A">
        <w:rPr>
          <w:rFonts w:cs="Times New Roman"/>
          <w:szCs w:val="24"/>
        </w:rPr>
        <w:t>, the strengths and shortcomings, and a summary will be provided.</w:t>
      </w:r>
    </w:p>
    <w:p w:rsidR="008671BB" w:rsidRPr="00661116" w:rsidP="002971DA">
      <w:pPr>
        <w:rPr>
          <w:rFonts w:cs="Times New Roman"/>
          <w:szCs w:val="24"/>
        </w:rPr>
      </w:pPr>
      <w:r w:rsidRPr="00661116">
        <w:rPr>
          <w:rFonts w:cs="Times New Roman"/>
          <w:szCs w:val="24"/>
        </w:rPr>
        <w:t xml:space="preserve">The presentation of the financial accounts and the policies involved </w:t>
      </w:r>
      <w:r w:rsidRPr="00661116">
        <w:rPr>
          <w:rFonts w:cs="Times New Roman"/>
          <w:szCs w:val="24"/>
        </w:rPr>
        <w:t>are taken</w:t>
      </w:r>
      <w:r w:rsidRPr="00661116">
        <w:rPr>
          <w:rFonts w:cs="Times New Roman"/>
          <w:szCs w:val="24"/>
        </w:rPr>
        <w:t xml:space="preserve"> into account during financial analysis. The evaluation of essential accounting policies is the first stage in the six-step analysis of accounting policy. The other stage is to evaluate the accounting approach after considering the accounting flexibility. This assessment continues with the fourth phase, which is the company's disclosure. Potential flaws are recognized, and incorrect accounting options </w:t>
      </w:r>
      <w:r w:rsidRPr="00661116">
        <w:rPr>
          <w:rFonts w:cs="Times New Roman"/>
          <w:szCs w:val="24"/>
        </w:rPr>
        <w:t>are distorted</w:t>
      </w:r>
      <w:r w:rsidRPr="00661116">
        <w:rPr>
          <w:rFonts w:cs="Times New Roman"/>
          <w:szCs w:val="24"/>
        </w:rPr>
        <w:t xml:space="preserve"> after the review stage.</w:t>
      </w:r>
    </w:p>
    <w:p w:rsidR="00C75E2A" w:rsidRPr="00661116" w:rsidP="00C75E2A">
      <w:pPr>
        <w:jc w:val="center"/>
        <w:rPr>
          <w:rFonts w:cs="Times New Roman"/>
          <w:b/>
          <w:szCs w:val="24"/>
        </w:rPr>
      </w:pPr>
      <w:r w:rsidRPr="00661116">
        <w:rPr>
          <w:rFonts w:cs="Times New Roman"/>
          <w:b/>
          <w:szCs w:val="24"/>
        </w:rPr>
        <w:t>Presentation of the Accounting Analysis</w:t>
      </w:r>
    </w:p>
    <w:p w:rsidR="00D621DD" w:rsidRPr="00661116" w:rsidP="00D621DD">
      <w:pPr>
        <w:rPr>
          <w:rFonts w:cs="Times New Roman"/>
          <w:b/>
          <w:szCs w:val="24"/>
        </w:rPr>
      </w:pPr>
      <w:r w:rsidRPr="00661116">
        <w:rPr>
          <w:rFonts w:cs="Times New Roman"/>
          <w:b/>
          <w:szCs w:val="24"/>
        </w:rPr>
        <w:t>Key Policies</w:t>
      </w:r>
    </w:p>
    <w:p w:rsidR="00C75E2A" w:rsidRPr="00661116" w:rsidP="00C75E2A">
      <w:pPr>
        <w:rPr>
          <w:rFonts w:cs="Times New Roman"/>
          <w:szCs w:val="24"/>
        </w:rPr>
      </w:pPr>
      <w:r w:rsidRPr="00661116">
        <w:rPr>
          <w:rFonts w:cs="Times New Roman"/>
          <w:szCs w:val="24"/>
        </w:rPr>
        <w:t xml:space="preserve">The Alphabet Company follows the United States Generally Accepted Accounting Principles (GAAP) in reporting the company's financial position and operational results. This </w:t>
      </w:r>
      <w:r w:rsidRPr="00661116">
        <w:rPr>
          <w:rFonts w:cs="Times New Roman"/>
          <w:szCs w:val="24"/>
        </w:rPr>
        <w:t xml:space="preserve">disclosure </w:t>
      </w:r>
      <w:r w:rsidRPr="00661116">
        <w:rPr>
          <w:rFonts w:cs="Times New Roman"/>
          <w:szCs w:val="24"/>
        </w:rPr>
        <w:t>was given</w:t>
      </w:r>
      <w:r w:rsidRPr="00661116">
        <w:rPr>
          <w:rFonts w:cs="Times New Roman"/>
          <w:szCs w:val="24"/>
        </w:rPr>
        <w:t xml:space="preserve"> in the financial statement notes that accompanied the financial statements in the three years. As per GAAP, the firm makes assumptions and estimates that impact the account balances and are disclosed in the financial statements and notes. Actual outcomes may differ significantly from these projections. It assesses estimations that are deemed </w:t>
      </w:r>
      <w:r w:rsidRPr="00661116">
        <w:rPr>
          <w:rFonts w:cs="Times New Roman"/>
          <w:szCs w:val="24"/>
        </w:rPr>
        <w:t>fair</w:t>
      </w:r>
      <w:r w:rsidRPr="00661116">
        <w:rPr>
          <w:rFonts w:cs="Times New Roman"/>
          <w:szCs w:val="24"/>
        </w:rPr>
        <w:t xml:space="preserve"> regularly, the findings of which serve as the foundation for making decisions regarding the carrying values of liabilities and assets.</w:t>
      </w:r>
      <w:r w:rsidRPr="00661116" w:rsidR="00563804">
        <w:rPr>
          <w:rFonts w:cs="Times New Roman"/>
          <w:szCs w:val="24"/>
        </w:rPr>
        <w:t xml:space="preserve"> Alphabet assessed the estimated useful life of its servers and network equipment in January 2021 and ascertained that the estimated useful life of servers should be increased from </w:t>
      </w:r>
      <w:r w:rsidRPr="00661116" w:rsidR="00563804">
        <w:rPr>
          <w:rFonts w:cs="Times New Roman"/>
          <w:szCs w:val="24"/>
        </w:rPr>
        <w:t>3</w:t>
      </w:r>
      <w:r w:rsidRPr="00661116" w:rsidR="00563804">
        <w:rPr>
          <w:rFonts w:cs="Times New Roman"/>
          <w:szCs w:val="24"/>
        </w:rPr>
        <w:t xml:space="preserve"> to 4 years, and the estimated useful life of specific network equipment should be increased from 3 to 5 years. Beginning in the fiscal year 2021, this change in accounting estimate will take effect.</w:t>
      </w:r>
    </w:p>
    <w:p w:rsidR="00563804" w:rsidRPr="00661116" w:rsidP="00C75E2A">
      <w:pPr>
        <w:rPr>
          <w:rFonts w:cs="Times New Roman"/>
          <w:szCs w:val="24"/>
        </w:rPr>
      </w:pPr>
      <w:r w:rsidRPr="00661116">
        <w:rPr>
          <w:rFonts w:cs="Times New Roman"/>
          <w:szCs w:val="24"/>
        </w:rPr>
        <w:t xml:space="preserve">When custody of the promised products or services </w:t>
      </w:r>
      <w:r w:rsidRPr="00661116">
        <w:rPr>
          <w:rFonts w:cs="Times New Roman"/>
          <w:szCs w:val="24"/>
        </w:rPr>
        <w:t>is passed</w:t>
      </w:r>
      <w:r w:rsidRPr="00661116">
        <w:rPr>
          <w:rFonts w:cs="Times New Roman"/>
          <w:szCs w:val="24"/>
        </w:rPr>
        <w:t xml:space="preserve"> to our customers, and the </w:t>
      </w:r>
      <w:r w:rsidRPr="00661116">
        <w:rPr>
          <w:rFonts w:cs="Times New Roman"/>
          <w:szCs w:val="24"/>
        </w:rPr>
        <w:t>collectibility</w:t>
      </w:r>
      <w:r w:rsidRPr="00661116">
        <w:rPr>
          <w:rFonts w:cs="Times New Roman"/>
          <w:szCs w:val="24"/>
        </w:rPr>
        <w:t xml:space="preserve"> of a sum expected in return for those goods or services is likely, revenues are recorded. Revenues </w:t>
      </w:r>
      <w:r w:rsidRPr="00661116">
        <w:rPr>
          <w:rFonts w:cs="Times New Roman"/>
          <w:szCs w:val="24"/>
        </w:rPr>
        <w:t>are not affected</w:t>
      </w:r>
      <w:r w:rsidRPr="00661116">
        <w:rPr>
          <w:rFonts w:cs="Times New Roman"/>
          <w:szCs w:val="24"/>
        </w:rPr>
        <w:t xml:space="preserve"> by sales or other comparable taxes. In the Consolidated Statements of Income, ABC maintains a credit loss allowance for accounts receivable, </w:t>
      </w:r>
      <w:r w:rsidRPr="00661116">
        <w:rPr>
          <w:rFonts w:cs="Times New Roman"/>
          <w:szCs w:val="24"/>
        </w:rPr>
        <w:t>recognized</w:t>
      </w:r>
      <w:r w:rsidRPr="00661116">
        <w:rPr>
          <w:rFonts w:cs="Times New Roman"/>
          <w:szCs w:val="24"/>
        </w:rPr>
        <w:t xml:space="preserve"> as an offset to accounts receivable. Changes in such are categorized as a general and administrative expenditure. When ABC identifies specific customers with known disputes or </w:t>
      </w:r>
      <w:r w:rsidRPr="00661116">
        <w:rPr>
          <w:rFonts w:cs="Times New Roman"/>
          <w:szCs w:val="24"/>
        </w:rPr>
        <w:t>collectibility</w:t>
      </w:r>
      <w:r w:rsidRPr="00661116">
        <w:rPr>
          <w:rFonts w:cs="Times New Roman"/>
          <w:szCs w:val="24"/>
        </w:rPr>
        <w:t xml:space="preserve"> issues, it assesses </w:t>
      </w:r>
      <w:r w:rsidRPr="00661116">
        <w:rPr>
          <w:rFonts w:cs="Times New Roman"/>
          <w:szCs w:val="24"/>
        </w:rPr>
        <w:t>collectibility</w:t>
      </w:r>
      <w:r w:rsidRPr="00661116">
        <w:rPr>
          <w:rFonts w:cs="Times New Roman"/>
          <w:szCs w:val="24"/>
        </w:rPr>
        <w:t xml:space="preserve"> by reviewing trade receivables on a group basis where common characteristics exist.  </w:t>
      </w:r>
      <w:r w:rsidRPr="00661116">
        <w:rPr>
          <w:rFonts w:cs="Times New Roman"/>
          <w:szCs w:val="24"/>
        </w:rPr>
        <w:t>ABC  </w:t>
      </w:r>
      <w:r w:rsidRPr="00661116">
        <w:rPr>
          <w:rFonts w:cs="Times New Roman"/>
          <w:szCs w:val="24"/>
        </w:rPr>
        <w:t>assessES</w:t>
      </w:r>
      <w:r w:rsidRPr="00661116">
        <w:rPr>
          <w:rFonts w:cs="Times New Roman"/>
          <w:szCs w:val="24"/>
        </w:rPr>
        <w:t xml:space="preserve"> historical </w:t>
      </w:r>
      <w:r w:rsidRPr="00661116">
        <w:rPr>
          <w:rFonts w:cs="Times New Roman"/>
          <w:szCs w:val="24"/>
        </w:rPr>
        <w:t>collectibility</w:t>
      </w:r>
      <w:r w:rsidRPr="00661116">
        <w:rPr>
          <w:rFonts w:cs="Times New Roman"/>
          <w:szCs w:val="24"/>
        </w:rPr>
        <w:t xml:space="preserve"> based on past statuses and makes creditworthiness judgements based on current credit evaluations for establishing the size of the provision for credit losses. As of December 31, 2019, and 2020, the provision for bad debt on receivable accounts was $275 million and $789 million, respectively.</w:t>
      </w:r>
    </w:p>
    <w:p w:rsidR="00563804" w:rsidRPr="00661116" w:rsidP="00C75E2A">
      <w:pPr>
        <w:rPr>
          <w:rFonts w:cs="Times New Roman"/>
          <w:szCs w:val="24"/>
        </w:rPr>
      </w:pPr>
      <w:r w:rsidRPr="00661116">
        <w:rPr>
          <w:rFonts w:cs="Times New Roman"/>
          <w:szCs w:val="24"/>
        </w:rPr>
        <w:t xml:space="preserve">ABC inventory </w:t>
      </w:r>
      <w:r w:rsidRPr="00661116">
        <w:rPr>
          <w:rFonts w:cs="Times New Roman"/>
          <w:szCs w:val="24"/>
        </w:rPr>
        <w:t>is generally made up</w:t>
      </w:r>
      <w:r w:rsidRPr="00661116">
        <w:rPr>
          <w:rFonts w:cs="Times New Roman"/>
          <w:szCs w:val="24"/>
        </w:rPr>
        <w:t xml:space="preserve"> of finished items, and it is valued at a lower cost or net realizable value. The first-in, first-out approac</w:t>
      </w:r>
      <w:r w:rsidRPr="00661116" w:rsidR="00D621DD">
        <w:rPr>
          <w:rFonts w:cs="Times New Roman"/>
          <w:szCs w:val="24"/>
        </w:rPr>
        <w:t xml:space="preserve">h is used to calculate the cost for </w:t>
      </w:r>
      <w:r w:rsidRPr="00661116" w:rsidR="00D621DD">
        <w:rPr>
          <w:rFonts w:cs="Times New Roman"/>
          <w:szCs w:val="24"/>
        </w:rPr>
        <w:t>th</w:t>
      </w:r>
      <w:r w:rsidRPr="00661116" w:rsidR="00D621DD">
        <w:rPr>
          <w:rFonts w:cs="Times New Roman"/>
          <w:szCs w:val="24"/>
        </w:rPr>
        <w:t xml:space="preserve"> year </w:t>
      </w:r>
      <w:r w:rsidRPr="00661116" w:rsidR="00D621DD">
        <w:rPr>
          <w:rFonts w:cs="Times New Roman"/>
          <w:szCs w:val="24"/>
        </w:rPr>
        <w:t xml:space="preserve">ended December 31, 2018, 2019 and 2020. This </w:t>
      </w:r>
      <w:r w:rsidRPr="00661116" w:rsidR="00D621DD">
        <w:rPr>
          <w:rFonts w:cs="Times New Roman"/>
          <w:szCs w:val="24"/>
        </w:rPr>
        <w:t>was revealed</w:t>
      </w:r>
      <w:r w:rsidRPr="00661116" w:rsidR="00D621DD">
        <w:rPr>
          <w:rFonts w:cs="Times New Roman"/>
          <w:szCs w:val="24"/>
        </w:rPr>
        <w:t xml:space="preserve"> in the financial statements' notes for the three years. The reporting of stock and other marketable instruments followed the Generally Accepted Accounting Principles (GAAP) standard in the United States.</w:t>
      </w:r>
    </w:p>
    <w:p w:rsidR="00D621DD" w:rsidRPr="00661116" w:rsidP="00C75E2A">
      <w:pPr>
        <w:rPr>
          <w:rFonts w:cs="Times New Roman"/>
          <w:b/>
          <w:szCs w:val="24"/>
        </w:rPr>
      </w:pPr>
      <w:r w:rsidRPr="00661116">
        <w:rPr>
          <w:rFonts w:cs="Times New Roman"/>
          <w:b/>
          <w:szCs w:val="24"/>
        </w:rPr>
        <w:t>Accounting Flexi</w:t>
      </w:r>
      <w:r w:rsidRPr="00661116" w:rsidR="00EE6437">
        <w:rPr>
          <w:rFonts w:cs="Times New Roman"/>
          <w:b/>
          <w:szCs w:val="24"/>
        </w:rPr>
        <w:t>bi</w:t>
      </w:r>
      <w:r w:rsidRPr="00661116">
        <w:rPr>
          <w:rFonts w:cs="Times New Roman"/>
          <w:b/>
          <w:szCs w:val="24"/>
        </w:rPr>
        <w:t>lity</w:t>
      </w:r>
    </w:p>
    <w:p w:rsidR="00D621DD" w:rsidRPr="00661116" w:rsidP="00C75E2A">
      <w:pPr>
        <w:rPr>
          <w:rFonts w:cs="Times New Roman"/>
          <w:szCs w:val="24"/>
        </w:rPr>
      </w:pPr>
      <w:r w:rsidRPr="00661116">
        <w:rPr>
          <w:rFonts w:cs="Times New Roman"/>
          <w:szCs w:val="24"/>
        </w:rPr>
        <w:t>Based on the firm's objectives, activities, and administration, and accounting information system should be able to adapt to changes in the company from year to year</w:t>
      </w:r>
      <w:r w:rsidRPr="00661116" w:rsidR="00661116">
        <w:rPr>
          <w:rFonts w:cs="Times New Roman"/>
          <w:szCs w:val="24"/>
        </w:rPr>
        <w:t xml:space="preserve"> (Kim, 2016)</w:t>
      </w:r>
      <w:r w:rsidRPr="00661116">
        <w:rPr>
          <w:rFonts w:cs="Times New Roman"/>
          <w:szCs w:val="24"/>
        </w:rPr>
        <w:t xml:space="preserve">. To put it another way, the flexibility principle states that any information system employed by a firm should evolve and develop with it. Google has a lot of flexibility when it comes to accounting regulations. Because this company's operations take place in almost every country on the planet, different accounting regulations such as the International Financial Reporting Standards </w:t>
      </w:r>
      <w:r w:rsidRPr="00661116">
        <w:rPr>
          <w:rFonts w:cs="Times New Roman"/>
          <w:szCs w:val="24"/>
        </w:rPr>
        <w:t xml:space="preserve">are </w:t>
      </w:r>
      <w:r w:rsidRPr="00661116">
        <w:rPr>
          <w:rFonts w:cs="Times New Roman"/>
          <w:szCs w:val="24"/>
        </w:rPr>
        <w:t xml:space="preserve">considered. As required, disclosure </w:t>
      </w:r>
      <w:r w:rsidRPr="00661116">
        <w:rPr>
          <w:rFonts w:cs="Times New Roman"/>
          <w:szCs w:val="24"/>
        </w:rPr>
        <w:t>is given</w:t>
      </w:r>
      <w:r w:rsidRPr="00661116">
        <w:rPr>
          <w:rFonts w:cs="Times New Roman"/>
          <w:szCs w:val="24"/>
        </w:rPr>
        <w:t xml:space="preserve"> in the financial statement notes. Non-GAAP measurements </w:t>
      </w:r>
      <w:r w:rsidRPr="00661116">
        <w:rPr>
          <w:rFonts w:cs="Times New Roman"/>
          <w:szCs w:val="24"/>
        </w:rPr>
        <w:t>were used</w:t>
      </w:r>
      <w:r w:rsidRPr="00661116">
        <w:rPr>
          <w:rFonts w:cs="Times New Roman"/>
          <w:szCs w:val="24"/>
        </w:rPr>
        <w:t xml:space="preserve"> in Google's consolidated financial statements, for example. The depiction of free cash flows and the implications of currency rates on the consolidated data are examples of this.</w:t>
      </w:r>
    </w:p>
    <w:p w:rsidR="00B70837" w:rsidRPr="00661116" w:rsidP="00C75E2A">
      <w:pPr>
        <w:rPr>
          <w:rFonts w:cs="Times New Roman"/>
          <w:szCs w:val="24"/>
        </w:rPr>
      </w:pPr>
      <w:r w:rsidRPr="00661116">
        <w:rPr>
          <w:rFonts w:cs="Times New Roman"/>
          <w:szCs w:val="24"/>
        </w:rPr>
        <w:t xml:space="preserve">Alphabet started a multi-year rollout of an emerging world ERP system in 2019, which </w:t>
      </w:r>
      <w:r w:rsidRPr="00661116">
        <w:rPr>
          <w:rFonts w:cs="Times New Roman"/>
          <w:szCs w:val="24"/>
        </w:rPr>
        <w:t>was deemed</w:t>
      </w:r>
      <w:r w:rsidRPr="00661116">
        <w:rPr>
          <w:rFonts w:cs="Times New Roman"/>
          <w:szCs w:val="24"/>
        </w:rPr>
        <w:t xml:space="preserve"> to replace a large portion of the present core financial systems. This </w:t>
      </w:r>
      <w:r w:rsidRPr="00661116">
        <w:rPr>
          <w:rFonts w:cs="Times New Roman"/>
          <w:szCs w:val="24"/>
        </w:rPr>
        <w:t>was intended</w:t>
      </w:r>
      <w:r w:rsidRPr="00661116">
        <w:rPr>
          <w:rFonts w:cs="Times New Roman"/>
          <w:szCs w:val="24"/>
        </w:rPr>
        <w:t xml:space="preserve"> to keep the financial records accurate, increase the flow of financial data, improve data management, and deliver timely information to our management team. The implementation is happening in</w:t>
      </w:r>
      <w:r w:rsidRPr="00661116">
        <w:rPr>
          <w:rFonts w:cs="Times New Roman"/>
          <w:szCs w:val="24"/>
        </w:rPr>
        <w:t xml:space="preserve"> stages</w:t>
      </w:r>
      <w:r w:rsidRPr="00661116">
        <w:rPr>
          <w:rFonts w:cs="Times New Roman"/>
          <w:szCs w:val="24"/>
        </w:rPr>
        <w:t xml:space="preserve"> over a few years. During the third quarter of 2020, the initial phase of improvements to the general ledger and consolidated financial reporting systems was completed. This is a good illustration of flexibility in accounting for the firm's operations.</w:t>
      </w:r>
    </w:p>
    <w:p w:rsidR="00C71277" w:rsidRPr="00661116" w:rsidP="00C75E2A">
      <w:pPr>
        <w:rPr>
          <w:rFonts w:cs="Times New Roman"/>
          <w:szCs w:val="24"/>
        </w:rPr>
      </w:pPr>
    </w:p>
    <w:p w:rsidR="00C71277" w:rsidRPr="00661116" w:rsidP="00C75E2A">
      <w:pPr>
        <w:rPr>
          <w:rFonts w:cs="Times New Roman"/>
          <w:szCs w:val="24"/>
        </w:rPr>
      </w:pPr>
    </w:p>
    <w:p w:rsidR="00D621DD" w:rsidRPr="00661116" w:rsidP="00C75E2A">
      <w:pPr>
        <w:rPr>
          <w:rFonts w:cs="Times New Roman"/>
          <w:b/>
          <w:szCs w:val="24"/>
        </w:rPr>
      </w:pPr>
      <w:r w:rsidRPr="00661116">
        <w:rPr>
          <w:rFonts w:cs="Times New Roman"/>
          <w:b/>
          <w:szCs w:val="24"/>
        </w:rPr>
        <w:t>Strategy</w:t>
      </w:r>
    </w:p>
    <w:p w:rsidR="00370EE0" w:rsidRPr="00661116" w:rsidP="00C75E2A">
      <w:pPr>
        <w:rPr>
          <w:rFonts w:cs="Times New Roman"/>
          <w:szCs w:val="24"/>
        </w:rPr>
      </w:pPr>
      <w:r w:rsidRPr="00661116">
        <w:rPr>
          <w:rFonts w:cs="Times New Roman"/>
          <w:szCs w:val="24"/>
        </w:rPr>
        <w:t xml:space="preserve">The income strategy of the company </w:t>
      </w:r>
      <w:r w:rsidRPr="00661116">
        <w:rPr>
          <w:rFonts w:cs="Times New Roman"/>
          <w:szCs w:val="24"/>
        </w:rPr>
        <w:t>is derived</w:t>
      </w:r>
      <w:r w:rsidRPr="00661116">
        <w:rPr>
          <w:rFonts w:cs="Times New Roman"/>
          <w:szCs w:val="24"/>
        </w:rPr>
        <w:t xml:space="preserve"> from its general accounting strategy and describes the firm's accounting aim in terms of accounting income</w:t>
      </w:r>
      <w:r w:rsidRPr="00661116" w:rsidR="00661116">
        <w:rPr>
          <w:rFonts w:cs="Times New Roman"/>
          <w:szCs w:val="24"/>
        </w:rPr>
        <w:t xml:space="preserve"> (</w:t>
      </w:r>
      <w:r w:rsidRPr="00661116" w:rsidR="00661116">
        <w:rPr>
          <w:rFonts w:cs="Times New Roman"/>
          <w:szCs w:val="24"/>
        </w:rPr>
        <w:t>Hatherly</w:t>
      </w:r>
      <w:r w:rsidRPr="00661116" w:rsidR="00661116">
        <w:rPr>
          <w:rFonts w:cs="Times New Roman"/>
          <w:szCs w:val="24"/>
        </w:rPr>
        <w:t>, 2016)</w:t>
      </w:r>
      <w:r w:rsidRPr="00661116">
        <w:rPr>
          <w:rFonts w:cs="Times New Roman"/>
          <w:szCs w:val="24"/>
        </w:rPr>
        <w:t>. Based on their accounting goals, managers might devise a range of income techniques.</w:t>
      </w:r>
      <w:r w:rsidRPr="00661116" w:rsidR="00835DE2">
        <w:rPr>
          <w:rFonts w:cs="Times New Roman"/>
          <w:szCs w:val="24"/>
        </w:rPr>
        <w:t xml:space="preserve"> Google (Alphabet) operates in the technology. Among its main competitor are Microsoft and Apple. </w:t>
      </w:r>
      <w:r w:rsidRPr="00661116" w:rsidR="00835DE2">
        <w:rPr>
          <w:rFonts w:cs="Times New Roman"/>
          <w:szCs w:val="24"/>
        </w:rPr>
        <w:t>Mos</w:t>
      </w:r>
      <w:r w:rsidRPr="00661116" w:rsidR="00835DE2">
        <w:rPr>
          <w:rFonts w:cs="Times New Roman"/>
          <w:szCs w:val="24"/>
        </w:rPr>
        <w:t xml:space="preserve">t of the accounting policies and strategies are similar to those of </w:t>
      </w:r>
      <w:r w:rsidRPr="00661116" w:rsidR="00C92381">
        <w:rPr>
          <w:rFonts w:cs="Times New Roman"/>
          <w:szCs w:val="24"/>
        </w:rPr>
        <w:t xml:space="preserve">its </w:t>
      </w:r>
      <w:r w:rsidRPr="00661116" w:rsidR="00C92381">
        <w:rPr>
          <w:rFonts w:cs="Times New Roman"/>
          <w:szCs w:val="24"/>
        </w:rPr>
        <w:t>competitors</w:t>
      </w:r>
      <w:r w:rsidRPr="00661116" w:rsidR="00C92381">
        <w:rPr>
          <w:rFonts w:cs="Times New Roman"/>
          <w:szCs w:val="24"/>
        </w:rPr>
        <w:t xml:space="preserve">. One significant variation in </w:t>
      </w:r>
      <w:r w:rsidRPr="00661116" w:rsidR="00C92381">
        <w:rPr>
          <w:rFonts w:cs="Times New Roman"/>
          <w:szCs w:val="24"/>
        </w:rPr>
        <w:t>accounting</w:t>
      </w:r>
      <w:r w:rsidRPr="00661116" w:rsidR="00C92381">
        <w:rPr>
          <w:rFonts w:cs="Times New Roman"/>
          <w:szCs w:val="24"/>
        </w:rPr>
        <w:t xml:space="preserve"> policy is that Microsoft measures its inventory cost at average cost while Alphabet and Apple measure at Fist-in-First-out basis of valuation. </w:t>
      </w:r>
    </w:p>
    <w:p w:rsidR="00D621DD" w:rsidRPr="00661116" w:rsidP="00C75E2A">
      <w:pPr>
        <w:rPr>
          <w:rFonts w:cs="Times New Roman"/>
          <w:szCs w:val="24"/>
        </w:rPr>
      </w:pPr>
      <w:r w:rsidRPr="00661116">
        <w:rPr>
          <w:rFonts w:cs="Times New Roman"/>
          <w:szCs w:val="24"/>
        </w:rPr>
        <w:t xml:space="preserve">All </w:t>
      </w:r>
      <w:r w:rsidRPr="00661116">
        <w:rPr>
          <w:rFonts w:cs="Times New Roman"/>
          <w:szCs w:val="24"/>
        </w:rPr>
        <w:t xml:space="preserve">three companies seem to have a similar accounting strategy. For instance, In July 2020, </w:t>
      </w:r>
      <w:r w:rsidRPr="00661116" w:rsidR="00370EE0">
        <w:rPr>
          <w:rFonts w:cs="Times New Roman"/>
          <w:szCs w:val="24"/>
        </w:rPr>
        <w:t xml:space="preserve">Microsoft </w:t>
      </w:r>
      <w:r w:rsidRPr="00661116">
        <w:rPr>
          <w:rFonts w:cs="Times New Roman"/>
          <w:szCs w:val="24"/>
        </w:rPr>
        <w:t>completed an assess</w:t>
      </w:r>
      <w:r w:rsidRPr="00661116" w:rsidR="00370EE0">
        <w:rPr>
          <w:rFonts w:cs="Times New Roman"/>
          <w:szCs w:val="24"/>
        </w:rPr>
        <w:t xml:space="preserve">ment of the useful lives of the </w:t>
      </w:r>
      <w:r w:rsidRPr="00661116">
        <w:rPr>
          <w:rFonts w:cs="Times New Roman"/>
          <w:szCs w:val="24"/>
        </w:rPr>
        <w:t>server and network equipment and determined we should increase the estimated useful life of server equipment from three years to four years and increase the estimated useful life of network equipment from two years to four years. This change in accounting estimate will be effective beginning fiscal year 2021</w:t>
      </w:r>
      <w:r w:rsidRPr="00661116" w:rsidR="00370EE0">
        <w:rPr>
          <w:rFonts w:cs="Times New Roman"/>
          <w:szCs w:val="24"/>
        </w:rPr>
        <w:t xml:space="preserve">. Similarly, Alphabet assesses estimations that are deemed </w:t>
      </w:r>
      <w:r w:rsidRPr="00661116" w:rsidR="00370EE0">
        <w:rPr>
          <w:rFonts w:cs="Times New Roman"/>
          <w:szCs w:val="24"/>
        </w:rPr>
        <w:t>fair</w:t>
      </w:r>
      <w:r w:rsidRPr="00661116" w:rsidR="00370EE0">
        <w:rPr>
          <w:rFonts w:cs="Times New Roman"/>
          <w:szCs w:val="24"/>
        </w:rPr>
        <w:t xml:space="preserve"> regularly, the findings of which serve as the foundation for making decisions regarding the carrying values of liabilities and assets. Alphabet assessed the estimated useful life of its servers and network equipment in January 2021 and ascertained that the estimated useful life of servers should be increased from </w:t>
      </w:r>
      <w:r w:rsidRPr="00661116" w:rsidR="00370EE0">
        <w:rPr>
          <w:rFonts w:cs="Times New Roman"/>
          <w:szCs w:val="24"/>
        </w:rPr>
        <w:t>3</w:t>
      </w:r>
      <w:r w:rsidRPr="00661116" w:rsidR="00370EE0">
        <w:rPr>
          <w:rFonts w:cs="Times New Roman"/>
          <w:szCs w:val="24"/>
        </w:rPr>
        <w:t xml:space="preserve"> to 4 years, and the estimated useful life of specific network equipment should be increased from 3 to 5 years.</w:t>
      </w:r>
    </w:p>
    <w:p w:rsidR="00C92381" w:rsidRPr="00661116" w:rsidP="00C75E2A">
      <w:pPr>
        <w:rPr>
          <w:rFonts w:cs="Times New Roman"/>
          <w:szCs w:val="24"/>
        </w:rPr>
      </w:pPr>
      <w:r w:rsidRPr="00661116">
        <w:rPr>
          <w:rFonts w:cs="Times New Roman"/>
          <w:szCs w:val="24"/>
        </w:rPr>
        <w:t>Revenue</w:t>
      </w:r>
      <w:r w:rsidRPr="00661116">
        <w:rPr>
          <w:rFonts w:cs="Times New Roman"/>
          <w:szCs w:val="24"/>
        </w:rPr>
        <w:t xml:space="preserve"> for Alphabet and its two </w:t>
      </w:r>
      <w:r w:rsidRPr="00661116">
        <w:rPr>
          <w:rFonts w:cs="Times New Roman"/>
          <w:szCs w:val="24"/>
        </w:rPr>
        <w:t>competitors</w:t>
      </w:r>
      <w:r w:rsidRPr="00661116">
        <w:rPr>
          <w:rFonts w:cs="Times New Roman"/>
          <w:szCs w:val="24"/>
        </w:rPr>
        <w:t xml:space="preserve"> was recognized</w:t>
      </w:r>
      <w:r w:rsidRPr="00661116">
        <w:rPr>
          <w:rFonts w:cs="Times New Roman"/>
          <w:szCs w:val="24"/>
        </w:rPr>
        <w:t xml:space="preserve"> after the change of ownership to the </w:t>
      </w:r>
      <w:r w:rsidRPr="00661116">
        <w:rPr>
          <w:rFonts w:cs="Times New Roman"/>
          <w:szCs w:val="24"/>
        </w:rPr>
        <w:t>custome</w:t>
      </w:r>
      <w:r w:rsidRPr="00661116">
        <w:rPr>
          <w:rFonts w:cs="Times New Roman"/>
          <w:szCs w:val="24"/>
        </w:rPr>
        <w:t xml:space="preserve">r. Below is </w:t>
      </w:r>
      <w:r w:rsidRPr="00661116" w:rsidR="00D52BDC">
        <w:rPr>
          <w:rFonts w:cs="Times New Roman"/>
          <w:szCs w:val="24"/>
        </w:rPr>
        <w:t>the table for revenue for Alphabet for the three years to 2020:</w:t>
      </w:r>
    </w:p>
    <w:p w:rsidR="00D52BDC" w:rsidRPr="00661116" w:rsidP="00C75E2A">
      <w:pPr>
        <w:rPr>
          <w:rFonts w:cs="Times New Roman"/>
          <w:szCs w:val="24"/>
        </w:rPr>
      </w:pPr>
      <w:r w:rsidRPr="00661116">
        <w:rPr>
          <w:rFonts w:cs="Times New Roman"/>
          <w:noProof/>
          <w:szCs w:val="24"/>
        </w:rPr>
        <w:drawing>
          <wp:inline distT="0" distB="0" distL="0" distR="0">
            <wp:extent cx="5791200" cy="2038350"/>
            <wp:effectExtent l="0" t="0" r="0" b="0"/>
            <wp:docPr id="1" name="Picture 1" descr="C:\Users\Brian Kariuki\AppData\Local\Microsoft\Windows\INetCache\Content.Word\Screenshot (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1" descr="C:\Users\Brian Kariuki\AppData\Local\Microsoft\Windows\INetCache\Content.Word\Screenshot (241).png"/>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rcRect l="-319" t="6850" r="797" b="4794"/>
                    <a:stretch>
                      <a:fillRect/>
                    </a:stretch>
                  </pic:blipFill>
                  <pic:spPr bwMode="auto">
                    <a:xfrm>
                      <a:off x="0" y="0"/>
                      <a:ext cx="5791200" cy="2038350"/>
                    </a:xfrm>
                    <a:prstGeom prst="rect">
                      <a:avLst/>
                    </a:prstGeom>
                    <a:noFill/>
                    <a:ln>
                      <a:noFill/>
                    </a:ln>
                  </pic:spPr>
                </pic:pic>
              </a:graphicData>
            </a:graphic>
          </wp:inline>
        </w:drawing>
      </w:r>
    </w:p>
    <w:p w:rsidR="00D52BDC" w:rsidRPr="00661116" w:rsidP="00D52BDC">
      <w:pPr>
        <w:pStyle w:val="Caption"/>
        <w:keepNext/>
        <w:rPr>
          <w:rFonts w:cs="Times New Roman"/>
          <w:sz w:val="24"/>
          <w:szCs w:val="24"/>
        </w:rPr>
      </w:pPr>
      <w:r w:rsidRPr="00661116">
        <w:rPr>
          <w:rFonts w:cs="Times New Roman"/>
          <w:sz w:val="24"/>
          <w:szCs w:val="24"/>
        </w:rPr>
        <w:t xml:space="preserve">Table </w:t>
      </w:r>
      <w:r w:rsidRPr="00661116">
        <w:rPr>
          <w:rFonts w:cs="Times New Roman"/>
          <w:sz w:val="24"/>
          <w:szCs w:val="24"/>
        </w:rPr>
        <w:fldChar w:fldCharType="begin"/>
      </w:r>
      <w:r w:rsidRPr="00661116">
        <w:rPr>
          <w:rFonts w:cs="Times New Roman"/>
          <w:sz w:val="24"/>
          <w:szCs w:val="24"/>
        </w:rPr>
        <w:instrText xml:space="preserve"> SEQ Table \* ARABIC </w:instrText>
      </w:r>
      <w:r w:rsidRPr="00661116">
        <w:rPr>
          <w:rFonts w:cs="Times New Roman"/>
          <w:sz w:val="24"/>
          <w:szCs w:val="24"/>
        </w:rPr>
        <w:fldChar w:fldCharType="separate"/>
      </w:r>
      <w:r w:rsidRPr="00661116">
        <w:rPr>
          <w:rFonts w:cs="Times New Roman"/>
          <w:noProof/>
          <w:sz w:val="24"/>
          <w:szCs w:val="24"/>
        </w:rPr>
        <w:t>1</w:t>
      </w:r>
      <w:r w:rsidRPr="00661116">
        <w:rPr>
          <w:rFonts w:cs="Times New Roman"/>
          <w:sz w:val="24"/>
          <w:szCs w:val="24"/>
        </w:rPr>
        <w:fldChar w:fldCharType="end"/>
      </w:r>
      <w:r w:rsidRPr="00661116">
        <w:rPr>
          <w:rFonts w:cs="Times New Roman"/>
          <w:sz w:val="24"/>
          <w:szCs w:val="24"/>
        </w:rPr>
        <w:t xml:space="preserve">: Revenue </w:t>
      </w:r>
      <w:r w:rsidRPr="00661116">
        <w:rPr>
          <w:rFonts w:cs="Times New Roman"/>
          <w:sz w:val="24"/>
          <w:szCs w:val="24"/>
        </w:rPr>
        <w:t>Tren</w:t>
      </w:r>
      <w:r w:rsidRPr="00661116">
        <w:rPr>
          <w:rFonts w:cs="Times New Roman"/>
          <w:sz w:val="24"/>
          <w:szCs w:val="24"/>
        </w:rPr>
        <w:t xml:space="preserve"> for three </w:t>
      </w:r>
      <w:r w:rsidRPr="00661116">
        <w:rPr>
          <w:rFonts w:cs="Times New Roman"/>
          <w:sz w:val="24"/>
          <w:szCs w:val="24"/>
        </w:rPr>
        <w:t>years to</w:t>
      </w:r>
      <w:r w:rsidRPr="00661116">
        <w:rPr>
          <w:rFonts w:cs="Times New Roman"/>
          <w:sz w:val="24"/>
          <w:szCs w:val="24"/>
        </w:rPr>
        <w:t xml:space="preserve"> 2020. Source: Google 10K report 2020</w:t>
      </w:r>
    </w:p>
    <w:p w:rsidR="00757B62" w:rsidRPr="00661116" w:rsidP="00D52BDC">
      <w:pPr>
        <w:ind w:firstLine="0"/>
        <w:rPr>
          <w:rFonts w:cs="Times New Roman"/>
          <w:szCs w:val="24"/>
        </w:rPr>
      </w:pPr>
    </w:p>
    <w:p w:rsidR="00370EE0" w:rsidRPr="00661116" w:rsidP="00C75E2A">
      <w:pPr>
        <w:rPr>
          <w:rFonts w:cs="Times New Roman"/>
          <w:b/>
          <w:szCs w:val="24"/>
        </w:rPr>
      </w:pPr>
      <w:r w:rsidRPr="00661116">
        <w:rPr>
          <w:rFonts w:cs="Times New Roman"/>
          <w:b/>
          <w:szCs w:val="24"/>
        </w:rPr>
        <w:t>Disclosures</w:t>
      </w:r>
    </w:p>
    <w:p w:rsidR="00757B62" w:rsidRPr="00661116" w:rsidP="00C75E2A">
      <w:pPr>
        <w:rPr>
          <w:rFonts w:cs="Times New Roman"/>
          <w:szCs w:val="24"/>
        </w:rPr>
      </w:pPr>
      <w:r w:rsidRPr="00661116">
        <w:rPr>
          <w:rFonts w:cs="Times New Roman"/>
          <w:szCs w:val="24"/>
        </w:rPr>
        <w:t xml:space="preserve">In its presentation, Alphabet detailed the expenditures associated with its operations, such as those related to technology. The risks that the corporation </w:t>
      </w:r>
      <w:r w:rsidRPr="00661116">
        <w:rPr>
          <w:rFonts w:cs="Times New Roman"/>
          <w:szCs w:val="24"/>
        </w:rPr>
        <w:t>was exposed</w:t>
      </w:r>
      <w:r w:rsidRPr="00661116">
        <w:rPr>
          <w:rFonts w:cs="Times New Roman"/>
          <w:szCs w:val="24"/>
        </w:rPr>
        <w:t xml:space="preserve"> to were also revealed. The business model, which is an E-commerce model, </w:t>
      </w:r>
      <w:r w:rsidRPr="00661116">
        <w:rPr>
          <w:rFonts w:cs="Times New Roman"/>
          <w:szCs w:val="24"/>
        </w:rPr>
        <w:t>was established</w:t>
      </w:r>
      <w:r w:rsidRPr="00661116">
        <w:rPr>
          <w:rFonts w:cs="Times New Roman"/>
          <w:szCs w:val="24"/>
        </w:rPr>
        <w:t xml:space="preserve"> from this. The adequacy of the business model </w:t>
      </w:r>
      <w:r w:rsidRPr="00661116">
        <w:rPr>
          <w:rFonts w:cs="Times New Roman"/>
          <w:szCs w:val="24"/>
        </w:rPr>
        <w:t>may be examined</w:t>
      </w:r>
      <w:r w:rsidRPr="00661116">
        <w:rPr>
          <w:rFonts w:cs="Times New Roman"/>
          <w:szCs w:val="24"/>
        </w:rPr>
        <w:t xml:space="preserve"> using information about the operations and dangers. The notes to the financial statements contained the majority of the information on accounting principles and assumptions. The description of inventory accounting, for example, put the United States Generally Accepted Accounting Principles in the spotlight.</w:t>
      </w:r>
    </w:p>
    <w:p w:rsidR="00D52BDC" w:rsidRPr="00661116" w:rsidP="00D52BDC">
      <w:pPr>
        <w:rPr>
          <w:rFonts w:cs="Times New Roman"/>
          <w:szCs w:val="24"/>
        </w:rPr>
      </w:pPr>
      <w:r w:rsidRPr="00661116">
        <w:rPr>
          <w:rFonts w:cs="Times New Roman"/>
          <w:szCs w:val="24"/>
        </w:rPr>
        <w:t xml:space="preserve">The notes also described calculations, which aided in the understanding of the accounting policy at hand. Alphabet </w:t>
      </w:r>
      <w:r w:rsidRPr="00661116">
        <w:rPr>
          <w:rFonts w:cs="Times New Roman"/>
          <w:szCs w:val="24"/>
        </w:rPr>
        <w:t>is divided</w:t>
      </w:r>
      <w:r w:rsidRPr="00661116">
        <w:rPr>
          <w:rFonts w:cs="Times New Roman"/>
          <w:szCs w:val="24"/>
        </w:rPr>
        <w:t xml:space="preserve"> into distinct sectors, which are clearly stated in the financial reports. </w:t>
      </w:r>
      <w:r w:rsidRPr="00661116">
        <w:rPr>
          <w:rFonts w:cs="Times New Roman"/>
          <w:szCs w:val="24"/>
        </w:rPr>
        <w:t xml:space="preserve">Overall, the disclosure controls and processes are crafted at a reasonable assurance level and are helpful to provide adequate confidence that details the company is required to disclose in reports that it files or publish under the Exchange Act are recorded, processed, summarized, and reported within the periods specified in the SEC's rules and forms, and that such </w:t>
      </w:r>
      <w:r w:rsidRPr="00661116">
        <w:rPr>
          <w:rFonts w:cs="Times New Roman"/>
          <w:szCs w:val="24"/>
        </w:rPr>
        <w:t>information is accurate as of December 31, 2020, according to Alphabet's chief executive officer and chief financial officer.</w:t>
      </w:r>
    </w:p>
    <w:p w:rsidR="00757B62" w:rsidRPr="00661116" w:rsidP="00C75E2A">
      <w:pPr>
        <w:rPr>
          <w:rFonts w:cs="Times New Roman"/>
          <w:b/>
          <w:szCs w:val="24"/>
        </w:rPr>
      </w:pPr>
      <w:r w:rsidRPr="00661116">
        <w:rPr>
          <w:rFonts w:cs="Times New Roman"/>
          <w:b/>
          <w:szCs w:val="24"/>
        </w:rPr>
        <w:t xml:space="preserve">Possible </w:t>
      </w:r>
      <w:r w:rsidRPr="00661116">
        <w:rPr>
          <w:rFonts w:cs="Times New Roman"/>
          <w:b/>
          <w:szCs w:val="24"/>
        </w:rPr>
        <w:t>Red flag</w:t>
      </w:r>
      <w:r w:rsidRPr="00661116" w:rsidR="00E66702">
        <w:rPr>
          <w:rFonts w:cs="Times New Roman"/>
          <w:b/>
          <w:szCs w:val="24"/>
        </w:rPr>
        <w:t>s</w:t>
      </w:r>
    </w:p>
    <w:p w:rsidR="00D52BDC" w:rsidRPr="00661116" w:rsidP="00D52BDC">
      <w:pPr>
        <w:ind w:firstLine="0"/>
        <w:rPr>
          <w:rFonts w:cs="Times New Roman"/>
          <w:szCs w:val="24"/>
        </w:rPr>
      </w:pPr>
      <w:r w:rsidRPr="00661116">
        <w:rPr>
          <w:rFonts w:cs="Times New Roman"/>
          <w:szCs w:val="24"/>
        </w:rPr>
        <w:t xml:space="preserve">The first red signal for Alphabet is unexplained performances. There was a significant disparity between the firm's stated income and the cash flows recorded for this company. There were significant differences between the cash flow achieved and the income reported. Because segmentation was not adequately accounted for, related party transactions occurred, affecting the accounting results provided. Results of Alphabets products </w:t>
      </w:r>
      <w:r w:rsidRPr="00661116">
        <w:rPr>
          <w:rFonts w:cs="Times New Roman"/>
          <w:szCs w:val="24"/>
        </w:rPr>
        <w:t>could also be displayed</w:t>
      </w:r>
      <w:r w:rsidRPr="00661116">
        <w:rPr>
          <w:rFonts w:cs="Times New Roman"/>
          <w:szCs w:val="24"/>
        </w:rPr>
        <w:t xml:space="preserve"> better </w:t>
      </w:r>
      <w:r w:rsidRPr="00661116" w:rsidR="00E66702">
        <w:rPr>
          <w:rFonts w:cs="Times New Roman"/>
          <w:szCs w:val="24"/>
        </w:rPr>
        <w:t>to make it easily understandable to use the financial statement.</w:t>
      </w:r>
    </w:p>
    <w:p w:rsidR="00E66702" w:rsidRPr="00661116" w:rsidP="00D52BDC">
      <w:pPr>
        <w:ind w:firstLine="0"/>
        <w:rPr>
          <w:rFonts w:cs="Times New Roman"/>
          <w:b/>
          <w:szCs w:val="24"/>
        </w:rPr>
      </w:pPr>
      <w:r w:rsidRPr="00661116">
        <w:rPr>
          <w:rFonts w:cs="Times New Roman"/>
          <w:b/>
          <w:szCs w:val="24"/>
        </w:rPr>
        <w:t>Summary of Findings</w:t>
      </w:r>
    </w:p>
    <w:p w:rsidR="00E66702" w:rsidRPr="00661116" w:rsidP="00D52BDC">
      <w:pPr>
        <w:ind w:firstLine="0"/>
        <w:rPr>
          <w:rFonts w:cs="Times New Roman"/>
          <w:szCs w:val="24"/>
        </w:rPr>
      </w:pPr>
      <w:r w:rsidRPr="00661116">
        <w:rPr>
          <w:rFonts w:cs="Times New Roman"/>
          <w:szCs w:val="24"/>
        </w:rPr>
        <w:t xml:space="preserve">According to the report, Alphabet's flexibility towards accounting policies is a critical factor that increased the quality and comparability of the financial reporting provided. The company's key issues were management's Failure to explain performance and the existence of related party activities. The corporation follows Generally Accepted Accounting Principles in the United States, according to the research. The company's policies </w:t>
      </w:r>
      <w:r w:rsidRPr="00661116">
        <w:rPr>
          <w:rFonts w:cs="Times New Roman"/>
          <w:szCs w:val="24"/>
        </w:rPr>
        <w:t>have been made</w:t>
      </w:r>
      <w:r w:rsidRPr="00661116">
        <w:rPr>
          <w:rFonts w:cs="Times New Roman"/>
          <w:szCs w:val="24"/>
        </w:rPr>
        <w:t xml:space="preserve"> more flexible, and its financial statements have been more transparent.</w:t>
      </w:r>
    </w:p>
    <w:p w:rsidR="00E66702" w:rsidRPr="00661116" w:rsidP="00D52BDC">
      <w:pPr>
        <w:ind w:firstLine="0"/>
        <w:rPr>
          <w:rFonts w:cs="Times New Roman"/>
          <w:szCs w:val="24"/>
        </w:rPr>
      </w:pPr>
    </w:p>
    <w:p w:rsidR="00661116" w:rsidRPr="00661116" w:rsidP="00D52BDC">
      <w:pPr>
        <w:ind w:firstLine="0"/>
        <w:rPr>
          <w:rFonts w:cs="Times New Roman"/>
          <w:szCs w:val="24"/>
        </w:rPr>
      </w:pPr>
    </w:p>
    <w:p w:rsidR="00661116" w:rsidRPr="00661116" w:rsidP="00D52BDC">
      <w:pPr>
        <w:ind w:firstLine="0"/>
        <w:rPr>
          <w:rFonts w:cs="Times New Roman"/>
          <w:szCs w:val="24"/>
        </w:rPr>
      </w:pPr>
    </w:p>
    <w:p w:rsidR="00661116" w:rsidRPr="00661116" w:rsidP="00D52BDC">
      <w:pPr>
        <w:ind w:firstLine="0"/>
        <w:rPr>
          <w:rFonts w:cs="Times New Roman"/>
          <w:szCs w:val="24"/>
        </w:rPr>
      </w:pPr>
    </w:p>
    <w:p w:rsidR="00661116" w:rsidRPr="00661116" w:rsidP="00D52BDC">
      <w:pPr>
        <w:ind w:firstLine="0"/>
        <w:rPr>
          <w:rFonts w:cs="Times New Roman"/>
          <w:szCs w:val="24"/>
        </w:rPr>
      </w:pPr>
    </w:p>
    <w:p w:rsidR="00E66702" w:rsidRPr="00661116" w:rsidP="00D52BDC">
      <w:pPr>
        <w:ind w:firstLine="0"/>
        <w:rPr>
          <w:rFonts w:cs="Times New Roman"/>
          <w:szCs w:val="24"/>
        </w:rPr>
      </w:pPr>
    </w:p>
    <w:p w:rsidR="00E66702" w:rsidRPr="00661116" w:rsidP="00D52BDC">
      <w:pPr>
        <w:ind w:firstLine="0"/>
        <w:rPr>
          <w:rFonts w:cs="Times New Roman"/>
          <w:szCs w:val="24"/>
        </w:rPr>
      </w:pPr>
    </w:p>
    <w:p w:rsidR="00E66702" w:rsidRPr="00661116" w:rsidP="00E66702">
      <w:pPr>
        <w:ind w:firstLine="0"/>
        <w:jc w:val="center"/>
        <w:rPr>
          <w:rFonts w:cs="Times New Roman"/>
          <w:b/>
          <w:szCs w:val="24"/>
        </w:rPr>
      </w:pPr>
      <w:r w:rsidRPr="00661116">
        <w:rPr>
          <w:rFonts w:cs="Times New Roman"/>
          <w:b/>
          <w:szCs w:val="24"/>
        </w:rPr>
        <w:t>References</w:t>
      </w:r>
    </w:p>
    <w:p w:rsidR="00661116" w:rsidRPr="00661116" w:rsidP="00661116">
      <w:pPr>
        <w:ind w:left="720" w:hanging="720"/>
        <w:rPr>
          <w:rFonts w:cs="Times New Roman"/>
          <w:color w:val="000000"/>
          <w:szCs w:val="24"/>
          <w:shd w:val="clear" w:color="auto" w:fill="FFFFFF"/>
        </w:rPr>
      </w:pPr>
      <w:r w:rsidRPr="00661116">
        <w:rPr>
          <w:rFonts w:cs="Times New Roman"/>
          <w:color w:val="222222"/>
          <w:szCs w:val="24"/>
          <w:shd w:val="clear" w:color="auto" w:fill="FFFFFF"/>
        </w:rPr>
        <w:t>Hatherly</w:t>
      </w:r>
      <w:r w:rsidRPr="00661116">
        <w:rPr>
          <w:rFonts w:cs="Times New Roman"/>
          <w:color w:val="222222"/>
          <w:szCs w:val="24"/>
          <w:shd w:val="clear" w:color="auto" w:fill="FFFFFF"/>
        </w:rPr>
        <w:t>, D. (2016). </w:t>
      </w:r>
      <w:r w:rsidRPr="00661116">
        <w:rPr>
          <w:rFonts w:cs="Times New Roman"/>
          <w:i/>
          <w:iCs/>
          <w:color w:val="222222"/>
          <w:szCs w:val="24"/>
          <w:shd w:val="clear" w:color="auto" w:fill="FFFFFF"/>
        </w:rPr>
        <w:t>The Failure and the future of accounting: strategy, stakeholders, and business value</w:t>
      </w:r>
      <w:r w:rsidRPr="00661116">
        <w:rPr>
          <w:rFonts w:cs="Times New Roman"/>
          <w:color w:val="222222"/>
          <w:szCs w:val="24"/>
          <w:shd w:val="clear" w:color="auto" w:fill="FFFFFF"/>
        </w:rPr>
        <w:t>. Routledge.</w:t>
      </w:r>
    </w:p>
    <w:p w:rsidR="00661116" w:rsidRPr="00661116" w:rsidP="00661116">
      <w:pPr>
        <w:ind w:left="720" w:hanging="720"/>
        <w:rPr>
          <w:rFonts w:cs="Times New Roman"/>
          <w:color w:val="222222"/>
          <w:szCs w:val="24"/>
          <w:shd w:val="clear" w:color="auto" w:fill="FFFFFF"/>
        </w:rPr>
      </w:pPr>
      <w:r w:rsidRPr="00661116">
        <w:rPr>
          <w:rFonts w:cs="Times New Roman"/>
          <w:color w:val="222222"/>
          <w:szCs w:val="24"/>
          <w:shd w:val="clear" w:color="auto" w:fill="FFFFFF"/>
        </w:rPr>
        <w:t>Kim, J. B. (2016). Accounting flexibility and managers’ forecast behavior prior to seasoned equity offerings. </w:t>
      </w:r>
      <w:r w:rsidRPr="00661116">
        <w:rPr>
          <w:rFonts w:cs="Times New Roman"/>
          <w:i/>
          <w:iCs/>
          <w:color w:val="222222"/>
          <w:szCs w:val="24"/>
          <w:shd w:val="clear" w:color="auto" w:fill="FFFFFF"/>
        </w:rPr>
        <w:t>Review of Accounting Studies</w:t>
      </w:r>
      <w:r w:rsidRPr="00661116">
        <w:rPr>
          <w:rFonts w:cs="Times New Roman"/>
          <w:color w:val="222222"/>
          <w:szCs w:val="24"/>
          <w:shd w:val="clear" w:color="auto" w:fill="FFFFFF"/>
        </w:rPr>
        <w:t>, </w:t>
      </w:r>
      <w:r w:rsidRPr="00661116">
        <w:rPr>
          <w:rFonts w:cs="Times New Roman"/>
          <w:i/>
          <w:iCs/>
          <w:color w:val="222222"/>
          <w:szCs w:val="24"/>
          <w:shd w:val="clear" w:color="auto" w:fill="FFFFFF"/>
        </w:rPr>
        <w:t>21</w:t>
      </w:r>
      <w:r w:rsidRPr="00661116">
        <w:rPr>
          <w:rFonts w:cs="Times New Roman"/>
          <w:color w:val="222222"/>
          <w:szCs w:val="24"/>
          <w:shd w:val="clear" w:color="auto" w:fill="FFFFFF"/>
        </w:rPr>
        <w:t>(4), 1361-</w:t>
      </w:r>
      <w:bookmarkStart w:id="0" w:name="_GoBack"/>
      <w:bookmarkEnd w:id="0"/>
      <w:r w:rsidRPr="00661116">
        <w:rPr>
          <w:rFonts w:cs="Times New Roman"/>
          <w:color w:val="222222"/>
          <w:szCs w:val="24"/>
          <w:shd w:val="clear" w:color="auto" w:fill="FFFFFF"/>
        </w:rPr>
        <w:t>1400.</w:t>
      </w:r>
    </w:p>
    <w:p w:rsidR="00661116" w:rsidRPr="00661116" w:rsidP="00661116">
      <w:pPr>
        <w:ind w:left="720" w:hanging="720"/>
        <w:rPr>
          <w:rFonts w:cs="Times New Roman"/>
          <w:color w:val="000000"/>
          <w:szCs w:val="24"/>
          <w:shd w:val="clear" w:color="auto" w:fill="FFFFFF"/>
        </w:rPr>
      </w:pPr>
      <w:r w:rsidRPr="00661116">
        <w:rPr>
          <w:rFonts w:cs="Times New Roman"/>
          <w:color w:val="000000"/>
          <w:szCs w:val="24"/>
          <w:shd w:val="clear" w:color="auto" w:fill="FFFFFF"/>
        </w:rPr>
        <w:t>Microsoft. (2021). </w:t>
      </w:r>
      <w:r w:rsidRPr="00661116">
        <w:rPr>
          <w:rFonts w:cs="Times New Roman"/>
          <w:i/>
          <w:iCs/>
          <w:color w:val="000000"/>
          <w:szCs w:val="24"/>
          <w:shd w:val="clear" w:color="auto" w:fill="FFFFFF"/>
        </w:rPr>
        <w:t>SEC Filing | Microsoft Corporation</w:t>
      </w:r>
      <w:r w:rsidRPr="00661116">
        <w:rPr>
          <w:rFonts w:cs="Times New Roman"/>
          <w:color w:val="000000"/>
          <w:szCs w:val="24"/>
          <w:shd w:val="clear" w:color="auto" w:fill="FFFFFF"/>
        </w:rPr>
        <w:t xml:space="preserve">. Microsoft.gcs-web.com. Retrieved November 3 2021, from </w:t>
      </w:r>
      <w:hyperlink r:id="rId6" w:history="1">
        <w:r w:rsidRPr="00661116">
          <w:rPr>
            <w:rStyle w:val="Hyperlink"/>
            <w:rFonts w:cs="Times New Roman"/>
            <w:szCs w:val="24"/>
            <w:shd w:val="clear" w:color="auto" w:fill="FFFFFF"/>
          </w:rPr>
          <w:t>https://microsoft.gcs-web.com/node/28366/html#ITEM_8_FINANCIAL_STATEMENTS_AND_SUPPLEM</w:t>
        </w:r>
      </w:hyperlink>
      <w:r w:rsidRPr="00661116">
        <w:rPr>
          <w:rFonts w:cs="Times New Roman"/>
          <w:color w:val="000000"/>
          <w:szCs w:val="24"/>
          <w:shd w:val="clear" w:color="auto" w:fill="FFFFFF"/>
        </w:rPr>
        <w:t>.</w:t>
      </w:r>
    </w:p>
    <w:p w:rsidR="00661116" w:rsidRPr="00661116" w:rsidP="00661116">
      <w:pPr>
        <w:ind w:left="720" w:hanging="720"/>
        <w:rPr>
          <w:rFonts w:cs="Times New Roman"/>
          <w:color w:val="000000"/>
          <w:szCs w:val="24"/>
          <w:shd w:val="clear" w:color="auto" w:fill="FFFFFF"/>
        </w:rPr>
      </w:pPr>
      <w:r w:rsidRPr="00661116">
        <w:rPr>
          <w:rFonts w:cs="Times New Roman"/>
          <w:color w:val="000000"/>
          <w:szCs w:val="24"/>
          <w:shd w:val="clear" w:color="auto" w:fill="FFFFFF"/>
        </w:rPr>
        <w:t>SEC. (2021). </w:t>
      </w:r>
      <w:r w:rsidRPr="00661116">
        <w:rPr>
          <w:rFonts w:cs="Times New Roman"/>
          <w:i/>
          <w:iCs/>
          <w:color w:val="000000"/>
          <w:szCs w:val="24"/>
          <w:shd w:val="clear" w:color="auto" w:fill="FFFFFF"/>
        </w:rPr>
        <w:t>Alphabet Inc. Form 10-K For the Fiscal Year Ended December 31, 2020</w:t>
      </w:r>
      <w:r w:rsidRPr="00661116">
        <w:rPr>
          <w:rFonts w:cs="Times New Roman"/>
          <w:color w:val="000000"/>
          <w:szCs w:val="24"/>
          <w:shd w:val="clear" w:color="auto" w:fill="FFFFFF"/>
        </w:rPr>
        <w:t xml:space="preserve">. Retrieved November 3 2021, from </w:t>
      </w:r>
      <w:hyperlink r:id="rId7" w:history="1">
        <w:r w:rsidRPr="00661116">
          <w:rPr>
            <w:rStyle w:val="Hyperlink"/>
            <w:rFonts w:cs="Times New Roman"/>
            <w:szCs w:val="24"/>
            <w:shd w:val="clear" w:color="auto" w:fill="FFFFFF"/>
          </w:rPr>
          <w:t>https://www.sec.gov/Archives/edgar/data/1652044/000165204421000010/goog-20201231.htm#id55be7992b374e1a9a2bc48887ddbb3f_106</w:t>
        </w:r>
      </w:hyperlink>
      <w:r w:rsidRPr="00661116">
        <w:rPr>
          <w:rFonts w:cs="Times New Roman"/>
          <w:color w:val="000000"/>
          <w:szCs w:val="24"/>
          <w:shd w:val="clear" w:color="auto" w:fill="FFFFFF"/>
        </w:rPr>
        <w:t>.</w:t>
      </w:r>
      <w:r w:rsidRPr="00661116">
        <w:rPr>
          <w:rFonts w:cs="Times New Roman"/>
          <w:color w:val="000000"/>
          <w:szCs w:val="24"/>
          <w:shd w:val="clear" w:color="auto" w:fill="FFFFFF"/>
        </w:rPr>
        <w:t xml:space="preserve"> </w:t>
      </w:r>
    </w:p>
    <w:p w:rsidR="00E66702" w:rsidRPr="00661116" w:rsidP="00E66702">
      <w:pPr>
        <w:ind w:firstLine="0"/>
        <w:rPr>
          <w:rFonts w:cs="Times New Roman"/>
          <w:szCs w:val="24"/>
        </w:rPr>
      </w:pPr>
    </w:p>
    <w:sectPr w:rsidSect="00661116">
      <w:headerReference w:type="default" r:id="rId8"/>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34726779"/>
      <w:docPartObj>
        <w:docPartGallery w:val="Page Numbers (Top of Page)"/>
        <w:docPartUnique/>
      </w:docPartObj>
    </w:sdtPr>
    <w:sdtEndPr>
      <w:rPr>
        <w:noProof/>
      </w:rPr>
    </w:sdtEndPr>
    <w:sdtContent>
      <w:p w:rsidR="00661116">
        <w:pPr>
          <w:pStyle w:val="Header"/>
          <w:jc w:val="right"/>
        </w:pPr>
        <w:r>
          <w:fldChar w:fldCharType="begin"/>
        </w:r>
        <w:r>
          <w:instrText xml:space="preserve"> PAGE   \* MERGEFORMAT </w:instrText>
        </w:r>
        <w:r>
          <w:fldChar w:fldCharType="separate"/>
        </w:r>
        <w:r>
          <w:rPr>
            <w:noProof/>
          </w:rPr>
          <w:t>8</w:t>
        </w:r>
        <w:r>
          <w:rPr>
            <w:noProof/>
          </w:rPr>
          <w:fldChar w:fldCharType="end"/>
        </w:r>
      </w:p>
    </w:sdtContent>
  </w:sdt>
  <w:p w:rsidR="006611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1DA"/>
    <w:rsid w:val="002971DA"/>
    <w:rsid w:val="00370EE0"/>
    <w:rsid w:val="00563804"/>
    <w:rsid w:val="00661116"/>
    <w:rsid w:val="00757B62"/>
    <w:rsid w:val="007B5ECB"/>
    <w:rsid w:val="00835DE2"/>
    <w:rsid w:val="008671BB"/>
    <w:rsid w:val="00963E8A"/>
    <w:rsid w:val="00A449B1"/>
    <w:rsid w:val="00B70837"/>
    <w:rsid w:val="00C71277"/>
    <w:rsid w:val="00C75E2A"/>
    <w:rsid w:val="00C92381"/>
    <w:rsid w:val="00D52BDC"/>
    <w:rsid w:val="00D621DD"/>
    <w:rsid w:val="00E66702"/>
    <w:rsid w:val="00EE643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D176D9"/>
  <w15:chartTrackingRefBased/>
  <w15:docId w15:val="{04A2D5C6-F1FD-4165-B3D6-0F64F7B32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52BDC"/>
    <w:pPr>
      <w:spacing w:after="200" w:line="240" w:lineRule="auto"/>
    </w:pPr>
    <w:rPr>
      <w:i/>
      <w:iCs/>
      <w:color w:val="44546A" w:themeColor="text2"/>
      <w:sz w:val="18"/>
      <w:szCs w:val="18"/>
    </w:rPr>
  </w:style>
  <w:style w:type="character" w:styleId="Hyperlink">
    <w:name w:val="Hyperlink"/>
    <w:basedOn w:val="DefaultParagraphFont"/>
    <w:uiPriority w:val="99"/>
    <w:unhideWhenUsed/>
    <w:rsid w:val="00E66702"/>
    <w:rPr>
      <w:color w:val="0563C1" w:themeColor="hyperlink"/>
      <w:u w:val="single"/>
    </w:rPr>
  </w:style>
  <w:style w:type="paragraph" w:styleId="Header">
    <w:name w:val="header"/>
    <w:basedOn w:val="Normal"/>
    <w:link w:val="HeaderChar"/>
    <w:uiPriority w:val="99"/>
    <w:unhideWhenUsed/>
    <w:rsid w:val="00661116"/>
    <w:pPr>
      <w:tabs>
        <w:tab w:val="center" w:pos="4680"/>
        <w:tab w:val="right" w:pos="9360"/>
      </w:tabs>
      <w:spacing w:line="240" w:lineRule="auto"/>
    </w:pPr>
  </w:style>
  <w:style w:type="character" w:customStyle="1" w:styleId="HeaderChar">
    <w:name w:val="Header Char"/>
    <w:basedOn w:val="DefaultParagraphFont"/>
    <w:link w:val="Header"/>
    <w:uiPriority w:val="99"/>
    <w:rsid w:val="00661116"/>
  </w:style>
  <w:style w:type="paragraph" w:styleId="Footer">
    <w:name w:val="footer"/>
    <w:basedOn w:val="Normal"/>
    <w:link w:val="FooterChar"/>
    <w:uiPriority w:val="99"/>
    <w:unhideWhenUsed/>
    <w:rsid w:val="00661116"/>
    <w:pPr>
      <w:tabs>
        <w:tab w:val="center" w:pos="4680"/>
        <w:tab w:val="right" w:pos="9360"/>
      </w:tabs>
      <w:spacing w:line="240" w:lineRule="auto"/>
    </w:pPr>
  </w:style>
  <w:style w:type="character" w:customStyle="1" w:styleId="FooterChar">
    <w:name w:val="Footer Char"/>
    <w:basedOn w:val="DefaultParagraphFont"/>
    <w:link w:val="Footer"/>
    <w:uiPriority w:val="99"/>
    <w:rsid w:val="00661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https://microsoft.gcs-web.com/node/28366/html#ITEM_8_FINANCIAL_STATEMENTS_AND_SUPPLEM" TargetMode="External" /><Relationship Id="rId7" Type="http://schemas.openxmlformats.org/officeDocument/2006/relationships/hyperlink" Target="https://www.sec.gov/Archives/edgar/data/1652044/000165204421000010/goog-20201231.htm#id55be7992b374e1a9a2bc48887ddbb3f_106"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0AC88-F858-4659-9DE3-0591DA23F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8</Pages>
  <Words>1656</Words>
  <Characters>9440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2021-11-03T08:39:00Z</dcterms:created>
  <dcterms:modified xsi:type="dcterms:W3CDTF">2021-11-03T14:28:00Z</dcterms:modified>
</cp:coreProperties>
</file>